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E6223E" w14:textId="10A4D9A7" w:rsidR="004A73F6" w:rsidRPr="004A73F6" w:rsidRDefault="004A73F6" w:rsidP="004A73F6">
      <w:pPr>
        <w:pStyle w:val="BodyText1"/>
        <w:spacing w:line="283" w:lineRule="auto"/>
        <w:ind w:left="4320" w:firstLine="0"/>
        <w:jc w:val="left"/>
        <w:rPr>
          <w:sz w:val="22"/>
          <w:szCs w:val="22"/>
          <w:lang w:val="lt-LT"/>
        </w:rPr>
      </w:pPr>
      <w:r w:rsidRPr="004A73F6">
        <w:rPr>
          <w:sz w:val="22"/>
          <w:szCs w:val="22"/>
          <w:lang w:val="lt-LT"/>
        </w:rPr>
        <w:t>Vietos plėtros strategijos „</w:t>
      </w:r>
      <w:bookmarkStart w:id="0" w:name="_GoBack"/>
      <w:bookmarkEnd w:id="0"/>
      <w:r w:rsidRPr="004A73F6">
        <w:rPr>
          <w:sz w:val="22"/>
          <w:szCs w:val="22"/>
          <w:lang w:val="lt-LT"/>
        </w:rPr>
        <w:t xml:space="preserve">Rokiškio kaimo strategija 2014-2020“  Kvietimo Nr. </w:t>
      </w:r>
      <w:r w:rsidRPr="004A73F6">
        <w:rPr>
          <w:sz w:val="22"/>
          <w:szCs w:val="22"/>
          <w:lang w:val="lt-LT"/>
        </w:rPr>
        <w:t>3</w:t>
      </w:r>
      <w:r w:rsidRPr="004A73F6">
        <w:rPr>
          <w:sz w:val="22"/>
          <w:szCs w:val="22"/>
          <w:lang w:val="lt-LT"/>
        </w:rPr>
        <w:t xml:space="preserve"> Vietos projektų finansavimo sąlygų aprašų pagal Priemonių veiklos sritis (patvirtint</w:t>
      </w:r>
      <w:r w:rsidRPr="004A73F6">
        <w:rPr>
          <w:sz w:val="22"/>
          <w:szCs w:val="22"/>
          <w:lang w:val="lt-LT"/>
        </w:rPr>
        <w:t>ų</w:t>
      </w:r>
      <w:r w:rsidRPr="004A73F6">
        <w:rPr>
          <w:sz w:val="22"/>
          <w:szCs w:val="22"/>
          <w:lang w:val="lt-LT"/>
        </w:rPr>
        <w:t xml:space="preserve"> VVG valdybos 201</w:t>
      </w:r>
      <w:r w:rsidRPr="004A73F6">
        <w:rPr>
          <w:sz w:val="22"/>
          <w:szCs w:val="22"/>
          <w:lang w:val="lt-LT"/>
        </w:rPr>
        <w:t>9</w:t>
      </w:r>
      <w:r w:rsidRPr="004A73F6">
        <w:rPr>
          <w:sz w:val="22"/>
          <w:szCs w:val="22"/>
          <w:lang w:val="lt-LT"/>
        </w:rPr>
        <w:t>-04</w:t>
      </w:r>
      <w:r w:rsidRPr="004A73F6">
        <w:rPr>
          <w:sz w:val="22"/>
          <w:szCs w:val="22"/>
          <w:lang w:val="lt-LT"/>
        </w:rPr>
        <w:t>-05</w:t>
      </w:r>
      <w:r w:rsidRPr="004A73F6">
        <w:rPr>
          <w:sz w:val="22"/>
          <w:szCs w:val="22"/>
          <w:lang w:val="lt-LT"/>
        </w:rPr>
        <w:t>, protokolo Nr. 1</w:t>
      </w:r>
      <w:r w:rsidRPr="004A73F6">
        <w:rPr>
          <w:sz w:val="22"/>
          <w:szCs w:val="22"/>
          <w:lang w:val="lt-LT"/>
        </w:rPr>
        <w:t>9</w:t>
      </w:r>
      <w:r w:rsidRPr="004A73F6">
        <w:rPr>
          <w:sz w:val="22"/>
          <w:szCs w:val="22"/>
          <w:lang w:val="lt-LT"/>
        </w:rPr>
        <w:t>)</w:t>
      </w:r>
    </w:p>
    <w:p w14:paraId="50BC4FD5" w14:textId="77777777" w:rsidR="004A73F6" w:rsidRPr="004A73F6" w:rsidRDefault="004A73F6" w:rsidP="004A73F6">
      <w:pPr>
        <w:pStyle w:val="BodyText1"/>
        <w:spacing w:line="283" w:lineRule="auto"/>
        <w:ind w:left="4320" w:firstLine="0"/>
        <w:jc w:val="left"/>
        <w:rPr>
          <w:b/>
          <w:color w:val="auto"/>
          <w:sz w:val="22"/>
          <w:szCs w:val="22"/>
          <w:lang w:val="lt-LT"/>
        </w:rPr>
      </w:pPr>
      <w:r w:rsidRPr="004A73F6">
        <w:rPr>
          <w:b/>
          <w:color w:val="auto"/>
          <w:sz w:val="22"/>
          <w:szCs w:val="22"/>
          <w:lang w:val="lt-LT"/>
        </w:rPr>
        <w:t>2 priedas</w:t>
      </w:r>
    </w:p>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0D263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28CC10"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1A60CE" w:rsidRPr="00A118D2">
        <w:rPr>
          <w:szCs w:val="24"/>
        </w:rPr>
        <w:t>___________________</w:t>
      </w:r>
      <w:r w:rsidR="00C91E8F" w:rsidRPr="00A118D2">
        <w:rPr>
          <w:szCs w:val="24"/>
        </w:rPr>
        <w:t xml:space="preserve"> </w:t>
      </w:r>
      <w:r w:rsidR="001A60CE" w:rsidRPr="00A118D2">
        <w:rPr>
          <w:szCs w:val="24"/>
        </w:rPr>
        <w:t xml:space="preserve">vietos veiklos grupės </w:t>
      </w:r>
      <w:r w:rsidR="001A60CE" w:rsidRPr="00A118D2">
        <w:rPr>
          <w:i/>
          <w:szCs w:val="24"/>
        </w:rPr>
        <w:t xml:space="preserve">(nurodomas vietos veiklos grupės pavadinimas)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lastRenderedPageBreak/>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2E24BC1"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51242C" w:rsidRPr="00A118D2">
        <w:rPr>
          <w:rStyle w:val="Puslapioinaosnuoroda"/>
          <w:szCs w:val="24"/>
        </w:rPr>
        <w:footnoteReference w:id="2"/>
      </w:r>
      <w:r w:rsidR="0051242C" w:rsidRPr="00A118D2">
        <w:rPr>
          <w:szCs w:val="24"/>
        </w:rPr>
        <w:t xml:space="preserve"> </w:t>
      </w:r>
      <w:r w:rsidR="000A0C6B" w:rsidRPr="00A118D2">
        <w:rPr>
          <w:bCs/>
          <w:szCs w:val="24"/>
        </w:rPr>
        <w:t xml:space="preserve">/ </w:t>
      </w:r>
      <w:r w:rsidR="000A0C6B" w:rsidRPr="00A118D2">
        <w:rPr>
          <w:szCs w:val="24"/>
        </w:rPr>
        <w:t>Žvejybos ir akvakultūros vietos projektų, įgyvendinamų pagal Lietuvos žuvininkystės sektoriaus 2014–2020 metų veiksmų programos priemonę „Vietos plėtros strategijų įgyvendinimas“, administravimo taisyklės</w:t>
      </w:r>
      <w:r w:rsidR="0051242C" w:rsidRPr="00A118D2">
        <w:rPr>
          <w:szCs w:val="24"/>
        </w:rPr>
        <w:t>e</w:t>
      </w:r>
      <w:r w:rsidR="000A0C6B" w:rsidRPr="00A118D2">
        <w:rPr>
          <w:szCs w:val="24"/>
        </w:rPr>
        <w:t>, patvirtintos</w:t>
      </w:r>
      <w:r w:rsidR="0051242C" w:rsidRPr="00A118D2">
        <w:rPr>
          <w:szCs w:val="24"/>
        </w:rPr>
        <w:t>e</w:t>
      </w:r>
      <w:r w:rsidR="000A0C6B" w:rsidRPr="00A118D2">
        <w:rPr>
          <w:szCs w:val="24"/>
        </w:rPr>
        <w:t xml:space="preserve"> Lietuvos Respublikos žemės ūkio ministro 2017 m. spalio 3</w:t>
      </w:r>
      <w:r w:rsidR="00ED10DA" w:rsidRPr="00A118D2">
        <w:rPr>
          <w:szCs w:val="24"/>
        </w:rPr>
        <w:t> </w:t>
      </w:r>
      <w:r w:rsidR="000A0C6B" w:rsidRPr="00A118D2">
        <w:rPr>
          <w:szCs w:val="24"/>
        </w:rPr>
        <w:t>d. įsakymu Nr. 3D-617 „Dėl Žvejybos ir akvakultūros vietos projektų, įgyvendinamų pagal Lietuvos žuvininkystės sektoriaus 2014–2020 metų veiksmų programos priemonę „Vietos plėtros strategijų įgyvendinimas“, administravimo taisyklių patvirtinimo“</w:t>
      </w:r>
      <w:r w:rsidR="000A0C6B" w:rsidRPr="00A118D2">
        <w:rPr>
          <w:bCs/>
          <w:szCs w:val="24"/>
        </w:rPr>
        <w:t xml:space="preserve"> </w:t>
      </w:r>
      <w:r w:rsidR="003B7BD5" w:rsidRPr="00A118D2">
        <w:rPr>
          <w:bCs/>
          <w:szCs w:val="24"/>
        </w:rPr>
        <w:t xml:space="preserve">(toliau – </w:t>
      </w:r>
      <w:r w:rsidR="003B7BD5" w:rsidRPr="00A118D2">
        <w:rPr>
          <w:szCs w:val="24"/>
        </w:rPr>
        <w:t>Taisyklės)</w:t>
      </w:r>
      <w:r w:rsidR="0051242C" w:rsidRPr="00A118D2">
        <w:rPr>
          <w:rStyle w:val="Puslapioinaosnuoroda"/>
          <w:szCs w:val="24"/>
        </w:rPr>
        <w:footnoteReference w:id="3"/>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4"/>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lastRenderedPageBreak/>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5"/>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6"/>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7"/>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8"/>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9"/>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w:t>
      </w:r>
      <w:r w:rsidR="00AC2EF5" w:rsidRPr="00A118D2">
        <w:rPr>
          <w:color w:val="000000"/>
          <w:lang w:val="lt-LT"/>
        </w:rPr>
        <w:lastRenderedPageBreak/>
        <w:t xml:space="preserve">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10"/>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11"/>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2"/>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3"/>
      </w:r>
      <w:r w:rsidR="00E757CA" w:rsidRPr="00A118D2">
        <w:rPr>
          <w:lang w:val="lt-LT"/>
        </w:rPr>
        <w:t xml:space="preserve"> </w:t>
      </w:r>
      <w:r w:rsidR="00E757CA" w:rsidRPr="00A118D2">
        <w:rPr>
          <w:i/>
          <w:lang w:val="lt-LT"/>
        </w:rPr>
        <w:t>(</w:t>
      </w:r>
      <w:r w:rsidR="00C36138" w:rsidRPr="00A118D2">
        <w:rPr>
          <w:i/>
          <w:lang w:val="lt-LT"/>
        </w:rPr>
        <w:t xml:space="preserve">nurodomas </w:t>
      </w:r>
      <w:r w:rsidR="00C36138" w:rsidRPr="00A118D2">
        <w:rPr>
          <w:i/>
          <w:lang w:val="lt-LT"/>
        </w:rPr>
        <w:lastRenderedPageBreak/>
        <w:t>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4"/>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5"/>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6"/>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9"/>
      </w:r>
    </w:p>
    <w:p w14:paraId="6B8FC3FC" w14:textId="77777777" w:rsidR="000459BB" w:rsidRPr="00A118D2" w:rsidRDefault="00B605CE" w:rsidP="00014AED">
      <w:pPr>
        <w:tabs>
          <w:tab w:val="left" w:pos="540"/>
          <w:tab w:val="left" w:pos="1197"/>
          <w:tab w:val="left" w:pos="1482"/>
        </w:tabs>
        <w:ind w:firstLine="851"/>
        <w:jc w:val="both"/>
        <w:rPr>
          <w:i/>
        </w:rPr>
      </w:pPr>
      <w:r w:rsidRPr="00A118D2">
        <w:lastRenderedPageBreak/>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20"/>
      </w:r>
      <w:r w:rsidR="00B72398" w:rsidRPr="00A118D2">
        <w:rPr>
          <w:spacing w:val="-4"/>
          <w:sz w:val="24"/>
          <w:szCs w:val="24"/>
        </w:rPr>
        <w:t>/ Taisyklių 16.1.2 papunktyje</w:t>
      </w:r>
      <w:r w:rsidR="00B72398" w:rsidRPr="00A118D2">
        <w:rPr>
          <w:rStyle w:val="Puslapioinaosnuoroda"/>
          <w:spacing w:val="-4"/>
          <w:sz w:val="24"/>
          <w:szCs w:val="24"/>
        </w:rPr>
        <w:footnoteReference w:id="21"/>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22"/>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3"/>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4"/>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lastRenderedPageBreak/>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5"/>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6"/>
      </w:r>
      <w:r w:rsidRPr="00A118D2">
        <w:t>.</w:t>
      </w:r>
      <w:r w:rsidRPr="00A118D2">
        <w:rPr>
          <w:rStyle w:val="Puslapioinaosnuoroda"/>
        </w:rPr>
        <w:footnoteReference w:id="27"/>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8"/>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9"/>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lastRenderedPageBreak/>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30"/>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31"/>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lastRenderedPageBreak/>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lastRenderedPageBreak/>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32"/>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3"/>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4"/>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5"/>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6"/>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7"/>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EA64" w14:textId="77777777" w:rsidR="00124D64" w:rsidRDefault="00124D64">
      <w:r>
        <w:separator/>
      </w:r>
    </w:p>
  </w:endnote>
  <w:endnote w:type="continuationSeparator" w:id="0">
    <w:p w14:paraId="102892B8" w14:textId="77777777" w:rsidR="00124D64" w:rsidRDefault="001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91F85" w14:textId="77777777" w:rsidR="00124D64" w:rsidRDefault="00124D64">
      <w:r>
        <w:separator/>
      </w:r>
    </w:p>
  </w:footnote>
  <w:footnote w:type="continuationSeparator" w:id="0">
    <w:p w14:paraId="2DACFDC3" w14:textId="77777777" w:rsidR="00124D64" w:rsidRDefault="00124D64">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52D61716" w14:textId="40956F8A"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Nuoroda į šias taisykles taikoma, kai rengiama vietos projekt</w:t>
      </w:r>
      <w:r w:rsidR="00ED10DA" w:rsidRPr="00903B4F">
        <w:rPr>
          <w:i/>
        </w:rPr>
        <w:t>o</w:t>
      </w:r>
      <w:r w:rsidR="00316E49" w:rsidRPr="00903B4F">
        <w:rPr>
          <w:i/>
        </w:rPr>
        <w:t>, įgyvendinam</w:t>
      </w:r>
      <w:r w:rsidR="00ED10DA" w:rsidRPr="00903B4F">
        <w:rPr>
          <w:i/>
        </w:rPr>
        <w:t>o</w:t>
      </w:r>
      <w:r w:rsidR="00316E49" w:rsidRPr="00903B4F">
        <w:rPr>
          <w:i/>
        </w:rPr>
        <w:t xml:space="preserve"> pagal kaimo vietovių arba </w:t>
      </w:r>
      <w:proofErr w:type="spellStart"/>
      <w:r w:rsidR="00316E49" w:rsidRPr="00903B4F">
        <w:rPr>
          <w:i/>
        </w:rPr>
        <w:t>dvisektorę</w:t>
      </w:r>
      <w:proofErr w:type="spellEnd"/>
      <w:r w:rsidR="00316E49" w:rsidRPr="00903B4F">
        <w:rPr>
          <w:i/>
        </w:rPr>
        <w:t xml:space="preserve"> vietos plėtros strategiją</w:t>
      </w:r>
      <w:r w:rsidR="00ED10DA" w:rsidRPr="00903B4F">
        <w:rPr>
          <w:i/>
        </w:rPr>
        <w:t>,</w:t>
      </w:r>
      <w:r w:rsidR="00316E49" w:rsidRPr="00903B4F">
        <w:rPr>
          <w:i/>
        </w:rPr>
        <w:t xml:space="preserve"> </w:t>
      </w:r>
      <w:r w:rsidR="00ED10DA" w:rsidRPr="00903B4F">
        <w:rPr>
          <w:i/>
        </w:rPr>
        <w:t xml:space="preserve">jungtinės veiklos sutartis. </w:t>
      </w:r>
      <w:r w:rsidR="00316E49" w:rsidRPr="00903B4F">
        <w:rPr>
          <w:i/>
        </w:rPr>
        <w:t>Nuoroda į žvejybos ir akvakultūros vietos projektų administravimo taisykles išbraukiama.</w:t>
      </w:r>
    </w:p>
  </w:footnote>
  <w:footnote w:id="3">
    <w:p w14:paraId="013053ED" w14:textId="2F86CCE6"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 xml:space="preserve">Nuoroda į šias taisykles taikoma, kai </w:t>
      </w:r>
      <w:r w:rsidR="00ED10DA" w:rsidRPr="00903B4F">
        <w:rPr>
          <w:i/>
        </w:rPr>
        <w:t xml:space="preserve">rengiama </w:t>
      </w:r>
      <w:r w:rsidR="00316E49" w:rsidRPr="00903B4F">
        <w:rPr>
          <w:i/>
        </w:rPr>
        <w:t>vietos projekt</w:t>
      </w:r>
      <w:r w:rsidR="00ED10DA" w:rsidRPr="00903B4F">
        <w:rPr>
          <w:i/>
        </w:rPr>
        <w:t>o</w:t>
      </w:r>
      <w:r w:rsidR="00316E49" w:rsidRPr="00903B4F">
        <w:rPr>
          <w:i/>
        </w:rPr>
        <w:t>, įgyvendinam</w:t>
      </w:r>
      <w:r w:rsidR="00ED10DA" w:rsidRPr="00903B4F">
        <w:rPr>
          <w:i/>
        </w:rPr>
        <w:t>o</w:t>
      </w:r>
      <w:r w:rsidR="00316E49" w:rsidRPr="00903B4F">
        <w:rPr>
          <w:i/>
        </w:rPr>
        <w:t xml:space="preserve"> pagal </w:t>
      </w:r>
      <w:r w:rsidR="003714B1" w:rsidRPr="00903B4F">
        <w:rPr>
          <w:i/>
        </w:rPr>
        <w:t>žvejybos ir akvakultūros reg</w:t>
      </w:r>
      <w:r w:rsidR="00023425" w:rsidRPr="00903B4F">
        <w:rPr>
          <w:i/>
        </w:rPr>
        <w:t>iono vietos plėtros strategiją</w:t>
      </w:r>
      <w:r w:rsidR="00ED10DA" w:rsidRPr="00903B4F">
        <w:rPr>
          <w:i/>
        </w:rPr>
        <w:t>,</w:t>
      </w:r>
      <w:r w:rsidR="00023425" w:rsidRPr="00903B4F">
        <w:rPr>
          <w:i/>
        </w:rPr>
        <w:t xml:space="preserve"> </w:t>
      </w:r>
      <w:r w:rsidR="00ED10DA" w:rsidRPr="00903B4F">
        <w:rPr>
          <w:i/>
        </w:rPr>
        <w:t xml:space="preserve">jungtinės veiklos sutartis. </w:t>
      </w:r>
      <w:r w:rsidR="00023425" w:rsidRPr="00903B4F">
        <w:rPr>
          <w:i/>
        </w:rPr>
        <w:t xml:space="preserve">Nuoroda į kaimo vietovių ir </w:t>
      </w:r>
      <w:proofErr w:type="spellStart"/>
      <w:r w:rsidR="00023425" w:rsidRPr="00903B4F">
        <w:rPr>
          <w:i/>
        </w:rPr>
        <w:t>dvisektorių</w:t>
      </w:r>
      <w:proofErr w:type="spellEnd"/>
      <w:r w:rsidR="00023425" w:rsidRPr="00903B4F">
        <w:rPr>
          <w:i/>
        </w:rPr>
        <w:t xml:space="preserve"> vietos projektų administravimo taisykles išbraukiama.</w:t>
      </w:r>
    </w:p>
  </w:footnote>
  <w:footnote w:id="4">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5">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6">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7">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8">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9">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10">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11">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2">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13">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5">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6">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7">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8">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20">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1">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2">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23">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4">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5">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6">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7">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8">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9">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3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31">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32">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33">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4">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5">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6">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7">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2637"/>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4D64"/>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4F74"/>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1C3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1E89"/>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3F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0C7B"/>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44D"/>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4A73F6"/>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1AD8A3E-3A56-42A1-BA65-4D9429D8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 priedas</vt:lpstr>
    </vt:vector>
  </TitlesOfParts>
  <Company>Ministerija</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Raimonda Viliminie</cp:lastModifiedBy>
  <cp:revision>6</cp:revision>
  <cp:lastPrinted>2009-04-27T09:33:00Z</cp:lastPrinted>
  <dcterms:created xsi:type="dcterms:W3CDTF">2018-12-13T11:50:00Z</dcterms:created>
  <dcterms:modified xsi:type="dcterms:W3CDTF">2019-04-09T15:51:00Z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